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9F" w:rsidRDefault="0074429F" w:rsidP="00133F51">
      <w:pPr>
        <w:pStyle w:val="Nincstrkz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1</w:t>
      </w:r>
      <w:proofErr w:type="gramStart"/>
      <w:r>
        <w:rPr>
          <w:rFonts w:asciiTheme="minorHAnsi" w:hAnsiTheme="minorHAnsi"/>
          <w:b/>
        </w:rPr>
        <w:t>.sz.</w:t>
      </w:r>
      <w:proofErr w:type="gramEnd"/>
      <w:r>
        <w:rPr>
          <w:rFonts w:asciiTheme="minorHAnsi" w:hAnsiTheme="minorHAnsi"/>
          <w:b/>
        </w:rPr>
        <w:t xml:space="preserve"> melléklet</w:t>
      </w:r>
    </w:p>
    <w:p w:rsidR="0074429F" w:rsidRDefault="0074429F" w:rsidP="00133F51">
      <w:pPr>
        <w:pStyle w:val="Nincstrkz"/>
        <w:jc w:val="center"/>
        <w:rPr>
          <w:rFonts w:asciiTheme="minorHAnsi" w:hAnsiTheme="minorHAnsi"/>
          <w:b/>
        </w:rPr>
      </w:pPr>
    </w:p>
    <w:p w:rsidR="0074429F" w:rsidRDefault="0074429F" w:rsidP="00133F51">
      <w:pPr>
        <w:pStyle w:val="Nincstrkz"/>
        <w:jc w:val="center"/>
        <w:rPr>
          <w:rFonts w:asciiTheme="minorHAnsi" w:hAnsiTheme="minorHAnsi"/>
          <w:b/>
        </w:rPr>
      </w:pPr>
    </w:p>
    <w:p w:rsidR="004549D2" w:rsidRPr="00C60EB5" w:rsidRDefault="00D6132F" w:rsidP="00133F51">
      <w:pPr>
        <w:pStyle w:val="Nincstrkz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Járási és önkormányzati hivatalok együttműködésének erősítése</w:t>
      </w:r>
    </w:p>
    <w:p w:rsidR="00F464CF" w:rsidRDefault="00F464CF" w:rsidP="00133F51">
      <w:pPr>
        <w:pStyle w:val="Nincstrkz"/>
        <w:jc w:val="center"/>
        <w:rPr>
          <w:rFonts w:asciiTheme="minorHAnsi" w:hAnsiTheme="minorHAnsi"/>
          <w:b/>
        </w:rPr>
      </w:pPr>
    </w:p>
    <w:p w:rsidR="00C60EB5" w:rsidRPr="00B061C5" w:rsidRDefault="00D6132F" w:rsidP="00B061C5">
      <w:pPr>
        <w:pStyle w:val="Nincstrkz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Ké</w:t>
      </w:r>
      <w:r w:rsidR="000E40A6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 xml:space="preserve">zési program </w:t>
      </w:r>
      <w:r w:rsidR="00B721DB">
        <w:rPr>
          <w:rFonts w:asciiTheme="minorHAnsi" w:hAnsiTheme="minorHAnsi"/>
          <w:b/>
        </w:rPr>
        <w:t>tájékoztató</w:t>
      </w:r>
    </w:p>
    <w:p w:rsidR="00C60EB5" w:rsidRPr="007D08A4" w:rsidRDefault="00C60EB5" w:rsidP="00C60EB5">
      <w:pPr>
        <w:rPr>
          <w:rFonts w:asciiTheme="minorHAnsi" w:hAnsiTheme="minorHAnsi"/>
          <w:b/>
        </w:rPr>
      </w:pPr>
      <w:r w:rsidRPr="007D08A4">
        <w:rPr>
          <w:rFonts w:asciiTheme="minorHAnsi" w:hAnsiTheme="minorHAnsi"/>
          <w:b/>
        </w:rPr>
        <w:t>Háttér</w:t>
      </w:r>
    </w:p>
    <w:p w:rsidR="00CD525E" w:rsidRDefault="00462727" w:rsidP="000E40A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utóbbi évek egyik legjelentősebb változása a közigazgatásban a járá</w:t>
      </w:r>
      <w:r w:rsidR="00842222">
        <w:rPr>
          <w:rFonts w:asciiTheme="minorHAnsi" w:hAnsiTheme="minorHAnsi"/>
        </w:rPr>
        <w:t xml:space="preserve">si hivatalok létrehozása és ezzel egyidejűleg a járási és önkormányzati hivatalok közötti </w:t>
      </w:r>
      <w:r w:rsidR="006C00D2">
        <w:rPr>
          <w:rFonts w:asciiTheme="minorHAnsi" w:hAnsiTheme="minorHAnsi"/>
        </w:rPr>
        <w:t xml:space="preserve">hatásköri- és </w:t>
      </w:r>
      <w:r w:rsidR="00842222">
        <w:rPr>
          <w:rFonts w:asciiTheme="minorHAnsi" w:hAnsiTheme="minorHAnsi"/>
        </w:rPr>
        <w:t xml:space="preserve">funkciómegosztás kialakítása. </w:t>
      </w:r>
      <w:r w:rsidR="005A52BB">
        <w:rPr>
          <w:rFonts w:asciiTheme="minorHAnsi" w:hAnsiTheme="minorHAnsi"/>
        </w:rPr>
        <w:t>A járási</w:t>
      </w:r>
      <w:r w:rsidR="00706B1F">
        <w:rPr>
          <w:rFonts w:asciiTheme="minorHAnsi" w:hAnsiTheme="minorHAnsi"/>
        </w:rPr>
        <w:t xml:space="preserve"> és az önkormány</w:t>
      </w:r>
      <w:r w:rsidR="005A52BB">
        <w:rPr>
          <w:rFonts w:asciiTheme="minorHAnsi" w:hAnsiTheme="minorHAnsi"/>
        </w:rPr>
        <w:t xml:space="preserve">zati hivatalok </w:t>
      </w:r>
      <w:r w:rsidR="00370CB8">
        <w:rPr>
          <w:rFonts w:asciiTheme="minorHAnsi" w:hAnsiTheme="minorHAnsi"/>
        </w:rPr>
        <w:t>közös célja a területen élő állampolgárok minél m</w:t>
      </w:r>
      <w:r w:rsidR="00060E30">
        <w:rPr>
          <w:rFonts w:asciiTheme="minorHAnsi" w:hAnsiTheme="minorHAnsi"/>
        </w:rPr>
        <w:t>agasabb színvonalú kiszolgálása és</w:t>
      </w:r>
      <w:r w:rsidR="00370CB8">
        <w:rPr>
          <w:rFonts w:asciiTheme="minorHAnsi" w:hAnsiTheme="minorHAnsi"/>
        </w:rPr>
        <w:t xml:space="preserve"> hivatali ügye</w:t>
      </w:r>
      <w:r w:rsidR="00F31FFA">
        <w:rPr>
          <w:rFonts w:asciiTheme="minorHAnsi" w:hAnsiTheme="minorHAnsi"/>
        </w:rPr>
        <w:t>ik hatékony és gyors inté</w:t>
      </w:r>
      <w:r w:rsidR="00060E30">
        <w:rPr>
          <w:rFonts w:asciiTheme="minorHAnsi" w:hAnsiTheme="minorHAnsi"/>
        </w:rPr>
        <w:t>zése. Emellett</w:t>
      </w:r>
      <w:r w:rsidR="00370CB8">
        <w:rPr>
          <w:rFonts w:asciiTheme="minorHAnsi" w:hAnsiTheme="minorHAnsi"/>
        </w:rPr>
        <w:t xml:space="preserve"> mindkét </w:t>
      </w:r>
      <w:r w:rsidR="00CD525E">
        <w:rPr>
          <w:rFonts w:asciiTheme="minorHAnsi" w:hAnsiTheme="minorHAnsi"/>
        </w:rPr>
        <w:t xml:space="preserve">igazgatási </w:t>
      </w:r>
      <w:r w:rsidR="00060E30">
        <w:rPr>
          <w:rFonts w:asciiTheme="minorHAnsi" w:hAnsiTheme="minorHAnsi"/>
        </w:rPr>
        <w:t>egység egymásra utaltságban</w:t>
      </w:r>
      <w:r w:rsidR="000E40A6">
        <w:rPr>
          <w:rFonts w:asciiTheme="minorHAnsi" w:hAnsiTheme="minorHAnsi"/>
        </w:rPr>
        <w:t xml:space="preserve"> működik, és csak úgy tud</w:t>
      </w:r>
      <w:r w:rsidR="00DE049D">
        <w:rPr>
          <w:rFonts w:asciiTheme="minorHAnsi" w:hAnsiTheme="minorHAnsi"/>
        </w:rPr>
        <w:t>nak</w:t>
      </w:r>
      <w:r w:rsidR="000E40A6">
        <w:rPr>
          <w:rFonts w:asciiTheme="minorHAnsi" w:hAnsiTheme="minorHAnsi"/>
        </w:rPr>
        <w:t xml:space="preserve"> jól</w:t>
      </w:r>
      <w:r w:rsidR="00060E30">
        <w:rPr>
          <w:rFonts w:asciiTheme="minorHAnsi" w:hAnsiTheme="minorHAnsi"/>
        </w:rPr>
        <w:t xml:space="preserve"> funkcionálni</w:t>
      </w:r>
      <w:r w:rsidR="000E40A6">
        <w:rPr>
          <w:rFonts w:asciiTheme="minorHAnsi" w:hAnsiTheme="minorHAnsi"/>
        </w:rPr>
        <w:t xml:space="preserve">, </w:t>
      </w:r>
      <w:r w:rsidR="00060E30">
        <w:rPr>
          <w:rFonts w:asciiTheme="minorHAnsi" w:hAnsiTheme="minorHAnsi"/>
        </w:rPr>
        <w:t>ha</w:t>
      </w:r>
      <w:r w:rsidR="00370CB8">
        <w:rPr>
          <w:rFonts w:asciiTheme="minorHAnsi" w:hAnsiTheme="minorHAnsi"/>
        </w:rPr>
        <w:t xml:space="preserve"> </w:t>
      </w:r>
      <w:r w:rsidR="005A52BB">
        <w:rPr>
          <w:rFonts w:asciiTheme="minorHAnsi" w:hAnsiTheme="minorHAnsi"/>
        </w:rPr>
        <w:t>sokrétű</w:t>
      </w:r>
      <w:r w:rsidR="00CD525E">
        <w:rPr>
          <w:rFonts w:asciiTheme="minorHAnsi" w:hAnsiTheme="minorHAnsi"/>
        </w:rPr>
        <w:t xml:space="preserve">, </w:t>
      </w:r>
      <w:r w:rsidR="00060E30">
        <w:rPr>
          <w:rFonts w:asciiTheme="minorHAnsi" w:hAnsiTheme="minorHAnsi"/>
        </w:rPr>
        <w:t>hatékony és</w:t>
      </w:r>
      <w:r w:rsidR="00DE049D">
        <w:rPr>
          <w:rFonts w:asciiTheme="minorHAnsi" w:hAnsiTheme="minorHAnsi"/>
        </w:rPr>
        <w:t xml:space="preserve"> átfogó egy</w:t>
      </w:r>
      <w:r w:rsidR="00060E30">
        <w:rPr>
          <w:rFonts w:asciiTheme="minorHAnsi" w:hAnsiTheme="minorHAnsi"/>
        </w:rPr>
        <w:t>üttműködést alakít</w:t>
      </w:r>
      <w:r w:rsidR="00DE049D">
        <w:rPr>
          <w:rFonts w:asciiTheme="minorHAnsi" w:hAnsiTheme="minorHAnsi"/>
        </w:rPr>
        <w:t>anak ki hivatali partnerükk</w:t>
      </w:r>
      <w:r w:rsidR="00060E30">
        <w:rPr>
          <w:rFonts w:asciiTheme="minorHAnsi" w:hAnsiTheme="minorHAnsi"/>
        </w:rPr>
        <w:t>el</w:t>
      </w:r>
      <w:r w:rsidR="00CD525E">
        <w:rPr>
          <w:rFonts w:asciiTheme="minorHAnsi" w:hAnsiTheme="minorHAnsi"/>
        </w:rPr>
        <w:t xml:space="preserve">. </w:t>
      </w:r>
    </w:p>
    <w:p w:rsidR="006C00D2" w:rsidRDefault="005A52BB" w:rsidP="000E40A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06B1F">
        <w:rPr>
          <w:rFonts w:asciiTheme="minorHAnsi" w:hAnsiTheme="minorHAnsi"/>
        </w:rPr>
        <w:t>A járási hivatalok és önkormányzatok közö</w:t>
      </w:r>
      <w:r w:rsidR="003A6085">
        <w:rPr>
          <w:rFonts w:asciiTheme="minorHAnsi" w:hAnsiTheme="minorHAnsi"/>
        </w:rPr>
        <w:t>tti kapcsolat</w:t>
      </w:r>
      <w:r w:rsidR="00706B1F">
        <w:rPr>
          <w:rFonts w:asciiTheme="minorHAnsi" w:hAnsiTheme="minorHAnsi"/>
        </w:rPr>
        <w:t xml:space="preserve"> formális és informális együttműkö</w:t>
      </w:r>
      <w:r w:rsidR="003A6085">
        <w:rPr>
          <w:rFonts w:asciiTheme="minorHAnsi" w:hAnsiTheme="minorHAnsi"/>
        </w:rPr>
        <w:t xml:space="preserve">dések rendszerében teljesedik ki, amelynek legfontosabb területei az osztott hatáskörök </w:t>
      </w:r>
      <w:r w:rsidR="00ED7F6E">
        <w:rPr>
          <w:rFonts w:asciiTheme="minorHAnsi" w:hAnsiTheme="minorHAnsi"/>
        </w:rPr>
        <w:t xml:space="preserve">gyakorlása, települési ügysegédi rendszer működtetése, a közfoglalkoztatási feladatok ellátása, </w:t>
      </w:r>
      <w:r w:rsidR="0013585E">
        <w:rPr>
          <w:rFonts w:asciiTheme="minorHAnsi" w:hAnsiTheme="minorHAnsi"/>
        </w:rPr>
        <w:t>az ingó- és ingatlan vagyonel</w:t>
      </w:r>
      <w:r w:rsidR="00F1063C">
        <w:rPr>
          <w:rFonts w:asciiTheme="minorHAnsi" w:hAnsiTheme="minorHAnsi"/>
        </w:rPr>
        <w:t>e</w:t>
      </w:r>
      <w:r w:rsidR="0013585E">
        <w:rPr>
          <w:rFonts w:asciiTheme="minorHAnsi" w:hAnsiTheme="minorHAnsi"/>
        </w:rPr>
        <w:t xml:space="preserve">mek közös használata, </w:t>
      </w:r>
      <w:r w:rsidR="00F1063C">
        <w:rPr>
          <w:rFonts w:asciiTheme="minorHAnsi" w:hAnsiTheme="minorHAnsi"/>
        </w:rPr>
        <w:t xml:space="preserve">az </w:t>
      </w:r>
      <w:r w:rsidR="0013585E">
        <w:rPr>
          <w:rFonts w:asciiTheme="minorHAnsi" w:hAnsiTheme="minorHAnsi"/>
        </w:rPr>
        <w:t xml:space="preserve">ügyfélszolgálat </w:t>
      </w:r>
      <w:r w:rsidR="00F1063C">
        <w:rPr>
          <w:rFonts w:asciiTheme="minorHAnsi" w:hAnsiTheme="minorHAnsi"/>
        </w:rPr>
        <w:t>meg</w:t>
      </w:r>
      <w:r w:rsidR="0013585E">
        <w:rPr>
          <w:rFonts w:asciiTheme="minorHAnsi" w:hAnsiTheme="minorHAnsi"/>
        </w:rPr>
        <w:t>szervezése</w:t>
      </w:r>
      <w:r w:rsidR="00F1063C">
        <w:rPr>
          <w:rFonts w:asciiTheme="minorHAnsi" w:hAnsiTheme="minorHAnsi"/>
        </w:rPr>
        <w:t xml:space="preserve"> a közösen használt épületekben</w:t>
      </w:r>
      <w:r w:rsidR="0013585E">
        <w:rPr>
          <w:rFonts w:asciiTheme="minorHAnsi" w:hAnsiTheme="minorHAnsi"/>
        </w:rPr>
        <w:t>.</w:t>
      </w:r>
      <w:r w:rsidR="00281093">
        <w:rPr>
          <w:rFonts w:asciiTheme="minorHAnsi" w:hAnsiTheme="minorHAnsi"/>
        </w:rPr>
        <w:t xml:space="preserve"> </w:t>
      </w:r>
      <w:r w:rsidR="00DC6278">
        <w:rPr>
          <w:rFonts w:asciiTheme="minorHAnsi" w:hAnsiTheme="minorHAnsi"/>
        </w:rPr>
        <w:t>Emellett fontos kormányzati elvárás, hogy a</w:t>
      </w:r>
      <w:r w:rsidR="00281093" w:rsidRPr="00281093">
        <w:rPr>
          <w:rFonts w:asciiTheme="minorHAnsi" w:hAnsiTheme="minorHAnsi"/>
        </w:rPr>
        <w:t xml:space="preserve"> járási hi</w:t>
      </w:r>
      <w:r w:rsidR="00633B26">
        <w:rPr>
          <w:rFonts w:asciiTheme="minorHAnsi" w:hAnsiTheme="minorHAnsi"/>
        </w:rPr>
        <w:t xml:space="preserve">vatalok jelentsenek információs </w:t>
      </w:r>
      <w:r w:rsidR="00281093" w:rsidRPr="00281093">
        <w:rPr>
          <w:rFonts w:asciiTheme="minorHAnsi" w:hAnsiTheme="minorHAnsi"/>
        </w:rPr>
        <w:t>csat</w:t>
      </w:r>
      <w:r w:rsidR="00DC6278">
        <w:rPr>
          <w:rFonts w:asciiTheme="minorHAnsi" w:hAnsiTheme="minorHAnsi"/>
        </w:rPr>
        <w:t>ornát az önkormányzatok számára,</w:t>
      </w:r>
      <w:r w:rsidR="00633B26">
        <w:rPr>
          <w:rFonts w:asciiTheme="minorHAnsi" w:hAnsiTheme="minorHAnsi"/>
        </w:rPr>
        <w:t xml:space="preserve"> </w:t>
      </w:r>
      <w:r w:rsidR="00DC6278">
        <w:rPr>
          <w:rFonts w:asciiTheme="minorHAnsi" w:hAnsiTheme="minorHAnsi"/>
        </w:rPr>
        <w:t>a</w:t>
      </w:r>
      <w:r w:rsidR="00281093" w:rsidRPr="00281093">
        <w:rPr>
          <w:rFonts w:asciiTheme="minorHAnsi" w:hAnsiTheme="minorHAnsi"/>
        </w:rPr>
        <w:t xml:space="preserve"> járási hivata</w:t>
      </w:r>
      <w:r w:rsidR="00633B26">
        <w:rPr>
          <w:rFonts w:asciiTheme="minorHAnsi" w:hAnsiTheme="minorHAnsi"/>
        </w:rPr>
        <w:t xml:space="preserve">lok az önkormányzatok </w:t>
      </w:r>
      <w:r w:rsidR="00281093" w:rsidRPr="00281093">
        <w:rPr>
          <w:rFonts w:asciiTheme="minorHAnsi" w:hAnsiTheme="minorHAnsi"/>
        </w:rPr>
        <w:t>jelzése alapján</w:t>
      </w:r>
      <w:r w:rsidR="00633B26">
        <w:rPr>
          <w:rFonts w:asciiTheme="minorHAnsi" w:hAnsiTheme="minorHAnsi"/>
        </w:rPr>
        <w:t xml:space="preserve"> </w:t>
      </w:r>
      <w:r w:rsidR="00C85793">
        <w:rPr>
          <w:rFonts w:asciiTheme="minorHAnsi" w:hAnsiTheme="minorHAnsi"/>
        </w:rPr>
        <w:t xml:space="preserve">képesek </w:t>
      </w:r>
      <w:r w:rsidR="00633B26">
        <w:rPr>
          <w:rFonts w:asciiTheme="minorHAnsi" w:hAnsiTheme="minorHAnsi"/>
        </w:rPr>
        <w:t xml:space="preserve">legyenek a jogszabályok </w:t>
      </w:r>
      <w:r w:rsidR="00281093" w:rsidRPr="00281093">
        <w:rPr>
          <w:rFonts w:asciiTheme="minorHAnsi" w:hAnsiTheme="minorHAnsi"/>
        </w:rPr>
        <w:t>végrehajtásával kapcsolatos javaslatokat</w:t>
      </w:r>
      <w:r w:rsidR="00633B26">
        <w:rPr>
          <w:rFonts w:asciiTheme="minorHAnsi" w:hAnsiTheme="minorHAnsi"/>
        </w:rPr>
        <w:t xml:space="preserve"> </w:t>
      </w:r>
      <w:r w:rsidR="00281093" w:rsidRPr="00281093">
        <w:rPr>
          <w:rFonts w:asciiTheme="minorHAnsi" w:hAnsiTheme="minorHAnsi"/>
        </w:rPr>
        <w:t>becsatornázni a jogalkotási, döntéshozatali</w:t>
      </w:r>
      <w:r w:rsidR="00633B26">
        <w:rPr>
          <w:rFonts w:asciiTheme="minorHAnsi" w:hAnsiTheme="minorHAnsi"/>
        </w:rPr>
        <w:t xml:space="preserve"> </w:t>
      </w:r>
      <w:r w:rsidR="00281093" w:rsidRPr="00281093">
        <w:rPr>
          <w:rFonts w:asciiTheme="minorHAnsi" w:hAnsiTheme="minorHAnsi"/>
        </w:rPr>
        <w:t>eljárásba.</w:t>
      </w:r>
      <w:r w:rsidR="00723242">
        <w:rPr>
          <w:rFonts w:asciiTheme="minorHAnsi" w:hAnsiTheme="minorHAnsi"/>
        </w:rPr>
        <w:t xml:space="preserve"> </w:t>
      </w:r>
    </w:p>
    <w:p w:rsidR="000E40A6" w:rsidRPr="001C11A9" w:rsidRDefault="00F1063C" w:rsidP="000E40A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átszervezések és az új rendszer kialakításának feszes üteme</w:t>
      </w:r>
      <w:r w:rsidR="00421184">
        <w:rPr>
          <w:rFonts w:asciiTheme="minorHAnsi" w:hAnsiTheme="minorHAnsi"/>
        </w:rPr>
        <w:t xml:space="preserve"> nem mindenütt tette lehetővé, hogy az együttműködés </w:t>
      </w:r>
      <w:r w:rsidR="00DE049D">
        <w:rPr>
          <w:rFonts w:asciiTheme="minorHAnsi" w:hAnsiTheme="minorHAnsi"/>
        </w:rPr>
        <w:t>valamennyi</w:t>
      </w:r>
      <w:r w:rsidR="00421184">
        <w:rPr>
          <w:rFonts w:asciiTheme="minorHAnsi" w:hAnsiTheme="minorHAnsi"/>
        </w:rPr>
        <w:t xml:space="preserve"> területén a megfelelő </w:t>
      </w:r>
      <w:r w:rsidR="001F78C8">
        <w:rPr>
          <w:rFonts w:asciiTheme="minorHAnsi" w:hAnsiTheme="minorHAnsi"/>
        </w:rPr>
        <w:t xml:space="preserve">tartalmú és minőségű kapcsolat alakuljon ki, ami visszahat a munkavégzés hatékonyságára és eredményességére, a polgárok kiszolgálásának színvonalára. Ezért a </w:t>
      </w:r>
      <w:r w:rsidR="002375E6">
        <w:rPr>
          <w:rFonts w:asciiTheme="minorHAnsi" w:hAnsiTheme="minorHAnsi"/>
        </w:rPr>
        <w:t xml:space="preserve">magyar-norvég együttműködésben megvalósuló </w:t>
      </w:r>
      <w:r w:rsidR="001F78C8">
        <w:rPr>
          <w:rFonts w:asciiTheme="minorHAnsi" w:hAnsiTheme="minorHAnsi"/>
        </w:rPr>
        <w:t xml:space="preserve">MANORKA </w:t>
      </w:r>
      <w:r w:rsidR="00AB5E7F">
        <w:rPr>
          <w:rFonts w:asciiTheme="minorHAnsi" w:hAnsiTheme="minorHAnsi"/>
        </w:rPr>
        <w:t xml:space="preserve">projekt </w:t>
      </w:r>
      <w:r w:rsidR="00C44E20">
        <w:rPr>
          <w:rFonts w:asciiTheme="minorHAnsi" w:hAnsiTheme="minorHAnsi"/>
        </w:rPr>
        <w:t>célul tűzte ki a járási és önkormányzati hivatalok együttműködésének megerősítését.</w:t>
      </w:r>
      <w:r w:rsidR="00421184">
        <w:rPr>
          <w:rFonts w:asciiTheme="minorHAnsi" w:hAnsiTheme="minorHAnsi"/>
        </w:rPr>
        <w:t xml:space="preserve"> </w:t>
      </w:r>
    </w:p>
    <w:p w:rsidR="00D27526" w:rsidRDefault="00D27526" w:rsidP="00C60EB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képzés megvalósításáért felelős projektpartnerek</w:t>
      </w:r>
    </w:p>
    <w:p w:rsidR="005623D1" w:rsidRPr="009970B9" w:rsidRDefault="00D27526" w:rsidP="005623D1">
      <w:pPr>
        <w:pStyle w:val="Nincstrkz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MANORKA projekt </w:t>
      </w:r>
      <w:r w:rsidR="002375E6">
        <w:rPr>
          <w:rFonts w:asciiTheme="minorHAnsi" w:hAnsiTheme="minorHAnsi"/>
        </w:rPr>
        <w:t xml:space="preserve">széleskörű együttműködésre épül, amelyben </w:t>
      </w:r>
      <w:r w:rsidR="006D225F">
        <w:rPr>
          <w:rFonts w:asciiTheme="minorHAnsi" w:hAnsiTheme="minorHAnsi"/>
        </w:rPr>
        <w:t>aktív szerepet vállaltak az önkormányzati szektor működésében meghatározó szerepet játszó kormányzati, civil és érdekvédelmi szervezetek.</w:t>
      </w:r>
      <w:r w:rsidR="001D703C">
        <w:rPr>
          <w:rFonts w:asciiTheme="minorHAnsi" w:hAnsiTheme="minorHAnsi"/>
        </w:rPr>
        <w:t xml:space="preserve"> A járási és önkormányzati együttműködés </w:t>
      </w:r>
      <w:r w:rsidR="005623D1">
        <w:rPr>
          <w:rFonts w:asciiTheme="minorHAnsi" w:hAnsiTheme="minorHAnsi"/>
        </w:rPr>
        <w:t xml:space="preserve">megerősítésére irányuló projektkomponens felelőse a </w:t>
      </w:r>
      <w:r w:rsidR="005623D1" w:rsidRPr="009970B9">
        <w:rPr>
          <w:rFonts w:asciiTheme="minorHAnsi" w:hAnsiTheme="minorHAnsi"/>
        </w:rPr>
        <w:t>Magyar Köztisztviselők, Közalkalmazottak</w:t>
      </w:r>
      <w:r w:rsidR="005623D1">
        <w:rPr>
          <w:rFonts w:asciiTheme="minorHAnsi" w:hAnsiTheme="minorHAnsi"/>
        </w:rPr>
        <w:t xml:space="preserve"> </w:t>
      </w:r>
      <w:r w:rsidR="005623D1" w:rsidRPr="009970B9">
        <w:rPr>
          <w:rFonts w:asciiTheme="minorHAnsi" w:hAnsiTheme="minorHAnsi"/>
        </w:rPr>
        <w:t>és Közszolgálati Dolgozók Szakszervezete (MKKSZ)</w:t>
      </w:r>
      <w:r w:rsidR="00B721DB">
        <w:rPr>
          <w:rFonts w:asciiTheme="minorHAnsi" w:hAnsiTheme="minorHAnsi"/>
        </w:rPr>
        <w:t>, az előkészítésben és megvalósításban aktív szerepet vállalnak a projekt kormányzati partnerei, a Miniszterelnökség</w:t>
      </w:r>
      <w:r w:rsidR="00576547">
        <w:rPr>
          <w:rFonts w:asciiTheme="minorHAnsi" w:hAnsiTheme="minorHAnsi"/>
        </w:rPr>
        <w:t xml:space="preserve"> (ME)</w:t>
      </w:r>
      <w:r w:rsidR="00B721DB">
        <w:rPr>
          <w:rFonts w:asciiTheme="minorHAnsi" w:hAnsiTheme="minorHAnsi"/>
        </w:rPr>
        <w:t xml:space="preserve"> és a Belügyminisztérium</w:t>
      </w:r>
      <w:r w:rsidR="00576547">
        <w:rPr>
          <w:rFonts w:asciiTheme="minorHAnsi" w:hAnsiTheme="minorHAnsi"/>
        </w:rPr>
        <w:t xml:space="preserve"> (BM)</w:t>
      </w:r>
      <w:r w:rsidR="00B721DB">
        <w:rPr>
          <w:rFonts w:asciiTheme="minorHAnsi" w:hAnsiTheme="minorHAnsi"/>
        </w:rPr>
        <w:t xml:space="preserve"> is.</w:t>
      </w:r>
    </w:p>
    <w:p w:rsidR="00D27526" w:rsidRPr="009970B9" w:rsidRDefault="00D27526" w:rsidP="00C60EB5">
      <w:pPr>
        <w:rPr>
          <w:rFonts w:asciiTheme="minorHAnsi" w:hAnsiTheme="minorHAnsi"/>
        </w:rPr>
      </w:pPr>
    </w:p>
    <w:p w:rsidR="00B721DB" w:rsidRDefault="00B721DB" w:rsidP="00C60EB5">
      <w:pPr>
        <w:rPr>
          <w:rFonts w:asciiTheme="minorHAnsi" w:hAnsiTheme="minorHAnsi"/>
          <w:b/>
        </w:rPr>
      </w:pPr>
    </w:p>
    <w:p w:rsidR="00C60EB5" w:rsidRPr="007D08A4" w:rsidRDefault="007D08A4" w:rsidP="00C60EB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képzés kerete és konkrét céljai</w:t>
      </w:r>
    </w:p>
    <w:p w:rsidR="00D2131B" w:rsidRDefault="00C44E20" w:rsidP="000E40A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31139">
        <w:rPr>
          <w:rFonts w:asciiTheme="minorHAnsi" w:hAnsiTheme="minorHAnsi"/>
        </w:rPr>
        <w:t xml:space="preserve"> projekt keretében 100 járásba</w:t>
      </w:r>
      <w:r>
        <w:rPr>
          <w:rFonts w:asciiTheme="minorHAnsi" w:hAnsiTheme="minorHAnsi"/>
        </w:rPr>
        <w:t>n egy –egy kétnapos képzés megvalósítására van lehetőség</w:t>
      </w:r>
      <w:r w:rsidR="00D2131B">
        <w:rPr>
          <w:rFonts w:asciiTheme="minorHAnsi" w:hAnsiTheme="minorHAnsi"/>
        </w:rPr>
        <w:t>, amely a következő célok elérését biztosíthatja:</w:t>
      </w:r>
    </w:p>
    <w:p w:rsidR="007C798C" w:rsidRDefault="007C798C" w:rsidP="000E40A6">
      <w:pPr>
        <w:pStyle w:val="Listaszerbekezds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együttműködés fontosságának és szükségességének tudatosítása, konkrét területeinek, tartalmának közös értelmezése;</w:t>
      </w:r>
    </w:p>
    <w:p w:rsidR="00C60EB5" w:rsidRDefault="00EA084E" w:rsidP="000E40A6">
      <w:pPr>
        <w:pStyle w:val="Listaszerbekezds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helyi</w:t>
      </w:r>
      <w:r w:rsidR="00D2131B">
        <w:rPr>
          <w:rFonts w:asciiTheme="minorHAnsi" w:hAnsiTheme="minorHAnsi"/>
        </w:rPr>
        <w:t xml:space="preserve"> együttműködésben tapasztalható problémák és akadályok feltárása;</w:t>
      </w:r>
    </w:p>
    <w:p w:rsidR="00EA084E" w:rsidRDefault="00EA084E" w:rsidP="000E40A6">
      <w:pPr>
        <w:pStyle w:val="Listaszerbekezds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jó együttműködés kritériumainak megh</w:t>
      </w:r>
      <w:r w:rsidR="000439A9">
        <w:rPr>
          <w:rFonts w:asciiTheme="minorHAnsi" w:hAnsiTheme="minorHAnsi"/>
        </w:rPr>
        <w:t>atározása létező jó gyakorlatok, esetek bemutatásán</w:t>
      </w:r>
      <w:r w:rsidR="000F5919">
        <w:rPr>
          <w:rFonts w:asciiTheme="minorHAnsi" w:hAnsiTheme="minorHAnsi"/>
        </w:rPr>
        <w:t xml:space="preserve"> és feldolgozásán</w:t>
      </w:r>
      <w:r w:rsidR="000439A9">
        <w:rPr>
          <w:rFonts w:asciiTheme="minorHAnsi" w:hAnsiTheme="minorHAnsi"/>
        </w:rPr>
        <w:t xml:space="preserve"> keresztül;</w:t>
      </w:r>
    </w:p>
    <w:p w:rsidR="003D6BA2" w:rsidRPr="00D2131B" w:rsidRDefault="003D6BA2" w:rsidP="000E40A6">
      <w:pPr>
        <w:pStyle w:val="Listaszerbekezds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folyamatos kapcsolattartás és együttműködés kereteinek és eszközeinek meghatározása;</w:t>
      </w:r>
    </w:p>
    <w:p w:rsidR="00C60EB5" w:rsidRDefault="00042FA7" w:rsidP="000E40A6">
      <w:pPr>
        <w:pStyle w:val="Listaszerbekezds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Konkrét akcióterv készítése az azonosított és helyben m</w:t>
      </w:r>
      <w:r w:rsidR="003D6BA2">
        <w:rPr>
          <w:rFonts w:asciiTheme="minorHAnsi" w:hAnsiTheme="minorHAnsi"/>
        </w:rPr>
        <w:t>egoldható problémák kezeléséhez;</w:t>
      </w:r>
    </w:p>
    <w:p w:rsidR="00215E40" w:rsidRDefault="00E05DC0" w:rsidP="000E40A6">
      <w:pPr>
        <w:pStyle w:val="Listaszerbekezds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Közös lista készítése az együttműködést meghatározó vagy befolyásoló</w:t>
      </w:r>
      <w:r w:rsidR="007D08A4">
        <w:rPr>
          <w:rFonts w:asciiTheme="minorHAnsi" w:hAnsiTheme="minorHAnsi"/>
        </w:rPr>
        <w:t>, de helyben nem megoldható problémákról és</w:t>
      </w:r>
      <w:r>
        <w:rPr>
          <w:rFonts w:asciiTheme="minorHAnsi" w:hAnsiTheme="minorHAnsi"/>
        </w:rPr>
        <w:t xml:space="preserve"> szabályozásból fakadó anomáliákról</w:t>
      </w:r>
      <w:r w:rsidR="00631139">
        <w:rPr>
          <w:rFonts w:asciiTheme="minorHAnsi" w:hAnsiTheme="minorHAnsi"/>
        </w:rPr>
        <w:t>;</w:t>
      </w:r>
      <w:r w:rsidR="00215E40" w:rsidRPr="00215E40">
        <w:rPr>
          <w:rFonts w:asciiTheme="minorHAnsi" w:hAnsiTheme="minorHAnsi"/>
        </w:rPr>
        <w:t xml:space="preserve"> </w:t>
      </w:r>
    </w:p>
    <w:p w:rsidR="00215E40" w:rsidRDefault="00215E40" w:rsidP="000E40A6">
      <w:pPr>
        <w:pStyle w:val="Listaszerbekezds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Egymás munkája elismerésének elősegítése, valamint a résztvevők közötti személyes kapcsolatok és kommunikáció javítása;</w:t>
      </w:r>
    </w:p>
    <w:p w:rsidR="00D94AEC" w:rsidRDefault="00D94AEC" w:rsidP="000E40A6">
      <w:pPr>
        <w:pStyle w:val="Listaszerbekezds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járáson belül működő ön</w:t>
      </w:r>
      <w:r w:rsidR="00631139">
        <w:rPr>
          <w:rFonts w:asciiTheme="minorHAnsi" w:hAnsiTheme="minorHAnsi"/>
        </w:rPr>
        <w:t xml:space="preserve">kormányzati hivatalok vezetői és munkatársai </w:t>
      </w:r>
      <w:r>
        <w:rPr>
          <w:rFonts w:asciiTheme="minorHAnsi" w:hAnsiTheme="minorHAnsi"/>
        </w:rPr>
        <w:t>együttműködésének megerősítése.</w:t>
      </w:r>
    </w:p>
    <w:p w:rsidR="00C60EB5" w:rsidRPr="009970B9" w:rsidRDefault="004502DC" w:rsidP="000E40A6">
      <w:pPr>
        <w:jc w:val="both"/>
        <w:rPr>
          <w:rFonts w:asciiTheme="minorHAnsi" w:hAnsiTheme="minorHAnsi"/>
          <w:b/>
        </w:rPr>
      </w:pPr>
      <w:r w:rsidRPr="009970B9">
        <w:rPr>
          <w:rFonts w:asciiTheme="minorHAnsi" w:hAnsiTheme="minorHAnsi"/>
          <w:b/>
        </w:rPr>
        <w:t>A képzés résztvevői</w:t>
      </w:r>
    </w:p>
    <w:p w:rsidR="004502DC" w:rsidRPr="00C60EB5" w:rsidRDefault="008B5721" w:rsidP="000E40A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képzés résztvevői a járási</w:t>
      </w:r>
      <w:r w:rsidR="0063113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illetve a polgármesteri hivatalo</w:t>
      </w:r>
      <w:r w:rsidR="000E40A6">
        <w:rPr>
          <w:rFonts w:asciiTheme="minorHAnsi" w:hAnsiTheme="minorHAnsi"/>
        </w:rPr>
        <w:t>k munkatársai, helyszínenként 1</w:t>
      </w:r>
      <w:r w:rsidR="000E40A6" w:rsidRPr="00631139">
        <w:rPr>
          <w:rFonts w:asciiTheme="minorHAnsi" w:hAnsiTheme="minorHAnsi"/>
        </w:rPr>
        <w:t>5</w:t>
      </w:r>
      <w:r>
        <w:rPr>
          <w:rFonts w:asciiTheme="minorHAnsi" w:hAnsiTheme="minorHAnsi"/>
        </w:rPr>
        <w:t>-20 fő. A</w:t>
      </w:r>
      <w:r w:rsidR="00590B17">
        <w:rPr>
          <w:rFonts w:asciiTheme="minorHAnsi" w:hAnsiTheme="minorHAnsi"/>
        </w:rPr>
        <w:t xml:space="preserve"> képzés eredményes lebonyolításának alapvető feltétele, hogy mindkét oldaról résztvegyenek az együttműködés meghatározói szereplői. A járások részéről feltétlen számítunk a hivatalvezetőkre és helyetteseikre, a</w:t>
      </w:r>
      <w:r w:rsidR="00637731">
        <w:rPr>
          <w:rFonts w:asciiTheme="minorHAnsi" w:hAnsiTheme="minorHAnsi"/>
        </w:rPr>
        <w:t xml:space="preserve">z </w:t>
      </w:r>
      <w:r w:rsidR="00AE2517">
        <w:rPr>
          <w:rFonts w:asciiTheme="minorHAnsi" w:hAnsiTheme="minorHAnsi"/>
        </w:rPr>
        <w:t>okmányiroda</w:t>
      </w:r>
      <w:r w:rsidR="00631139">
        <w:rPr>
          <w:rFonts w:asciiTheme="minorHAnsi" w:hAnsiTheme="minorHAnsi"/>
        </w:rPr>
        <w:t>,</w:t>
      </w:r>
      <w:r w:rsidR="00AE2517">
        <w:rPr>
          <w:rFonts w:asciiTheme="minorHAnsi" w:hAnsiTheme="minorHAnsi"/>
        </w:rPr>
        <w:t xml:space="preserve"> illetve az </w:t>
      </w:r>
      <w:r w:rsidR="00637731">
        <w:rPr>
          <w:rFonts w:asciiTheme="minorHAnsi" w:hAnsiTheme="minorHAnsi"/>
        </w:rPr>
        <w:t>együttműködésben leginkább érintett</w:t>
      </w:r>
      <w:r w:rsidR="00590B17">
        <w:rPr>
          <w:rFonts w:asciiTheme="minorHAnsi" w:hAnsiTheme="minorHAnsi"/>
        </w:rPr>
        <w:t xml:space="preserve"> szak</w:t>
      </w:r>
      <w:r w:rsidR="00631139">
        <w:rPr>
          <w:rFonts w:asciiTheme="minorHAnsi" w:hAnsiTheme="minorHAnsi"/>
        </w:rPr>
        <w:t>igazgatási szervek</w:t>
      </w:r>
      <w:r w:rsidR="000E40A6">
        <w:rPr>
          <w:rFonts w:asciiTheme="minorHAnsi" w:hAnsiTheme="minorHAnsi"/>
        </w:rPr>
        <w:t xml:space="preserve"> vezetőire, valamint </w:t>
      </w:r>
      <w:r w:rsidR="00637731">
        <w:rPr>
          <w:rFonts w:asciiTheme="minorHAnsi" w:hAnsiTheme="minorHAnsi"/>
        </w:rPr>
        <w:t>h</w:t>
      </w:r>
      <w:r w:rsidR="00AE2517">
        <w:rPr>
          <w:rFonts w:asciiTheme="minorHAnsi" w:hAnsiTheme="minorHAnsi"/>
        </w:rPr>
        <w:t>ivatali ügysegédekre, összesen 7</w:t>
      </w:r>
      <w:r w:rsidR="00637731">
        <w:rPr>
          <w:rFonts w:asciiTheme="minorHAnsi" w:hAnsiTheme="minorHAnsi"/>
        </w:rPr>
        <w:t xml:space="preserve">-8 fő. Az önkormányzatok részéről </w:t>
      </w:r>
      <w:r w:rsidR="00AE2517">
        <w:rPr>
          <w:rFonts w:asciiTheme="minorHAnsi" w:hAnsiTheme="minorHAnsi"/>
        </w:rPr>
        <w:t>az adott járás tele</w:t>
      </w:r>
      <w:r w:rsidR="00BE4370">
        <w:rPr>
          <w:rFonts w:asciiTheme="minorHAnsi" w:hAnsiTheme="minorHAnsi"/>
        </w:rPr>
        <w:t>pülésszerkezetének és hivatali struktúrájának megfelelően célszerűen kell bevonni az együttműködés kulcssz</w:t>
      </w:r>
      <w:r w:rsidR="005E1794">
        <w:rPr>
          <w:rFonts w:asciiTheme="minorHAnsi" w:hAnsiTheme="minorHAnsi"/>
        </w:rPr>
        <w:t>ereplőit, a jegyzőt, az</w:t>
      </w:r>
      <w:r w:rsidR="00BE4370">
        <w:rPr>
          <w:rFonts w:asciiTheme="minorHAnsi" w:hAnsiTheme="minorHAnsi"/>
        </w:rPr>
        <w:t xml:space="preserve"> </w:t>
      </w:r>
      <w:r w:rsidR="005E1794">
        <w:rPr>
          <w:rFonts w:asciiTheme="minorHAnsi" w:hAnsiTheme="minorHAnsi"/>
        </w:rPr>
        <w:t xml:space="preserve">osztott hatáskör tekintetében érintett területek felelős </w:t>
      </w:r>
      <w:r w:rsidR="000E40A6">
        <w:rPr>
          <w:rFonts w:asciiTheme="minorHAnsi" w:hAnsiTheme="minorHAnsi"/>
        </w:rPr>
        <w:t xml:space="preserve">hivatali vezetőit, </w:t>
      </w:r>
      <w:r w:rsidR="000E40A6" w:rsidRPr="001C11A9">
        <w:rPr>
          <w:rFonts w:asciiTheme="minorHAnsi" w:hAnsiTheme="minorHAnsi"/>
        </w:rPr>
        <w:t>kivételesen</w:t>
      </w:r>
      <w:r w:rsidR="005E1794" w:rsidRPr="001C11A9">
        <w:rPr>
          <w:rFonts w:asciiTheme="minorHAnsi" w:hAnsiTheme="minorHAnsi"/>
        </w:rPr>
        <w:t xml:space="preserve"> a</w:t>
      </w:r>
      <w:r w:rsidR="005E1794">
        <w:rPr>
          <w:rFonts w:asciiTheme="minorHAnsi" w:hAnsiTheme="minorHAnsi"/>
        </w:rPr>
        <w:t xml:space="preserve"> települési polgármestereket, alpolgármestereket, 9-10 fő.</w:t>
      </w:r>
      <w:r w:rsidR="00590B17">
        <w:rPr>
          <w:rFonts w:asciiTheme="minorHAnsi" w:hAnsiTheme="minorHAnsi"/>
        </w:rPr>
        <w:t xml:space="preserve"> </w:t>
      </w:r>
      <w:r w:rsidR="003867DF">
        <w:rPr>
          <w:rFonts w:asciiTheme="minorHAnsi" w:hAnsiTheme="minorHAnsi"/>
        </w:rPr>
        <w:t xml:space="preserve">Mindkét oldalon fontos lenne a </w:t>
      </w:r>
      <w:r w:rsidR="00631139">
        <w:rPr>
          <w:rFonts w:asciiTheme="minorHAnsi" w:hAnsiTheme="minorHAnsi"/>
        </w:rPr>
        <w:t xml:space="preserve">helyi </w:t>
      </w:r>
      <w:r w:rsidR="003867DF">
        <w:rPr>
          <w:rFonts w:asciiTheme="minorHAnsi" w:hAnsiTheme="minorHAnsi"/>
        </w:rPr>
        <w:t>szakszervezeti képviselők jelenléte.</w:t>
      </w:r>
    </w:p>
    <w:p w:rsidR="00B721DB" w:rsidRDefault="00B721DB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E54097" w:rsidRDefault="00E54097" w:rsidP="00C60EB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Jelentkezés</w:t>
      </w:r>
    </w:p>
    <w:p w:rsidR="00E54097" w:rsidRDefault="00E54097" w:rsidP="000E40A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képzés 100 járásban lesz megtartva, </w:t>
      </w:r>
      <w:r w:rsidR="00D17F62">
        <w:rPr>
          <w:rFonts w:asciiTheme="minorHAnsi" w:hAnsiTheme="minorHAnsi"/>
        </w:rPr>
        <w:t xml:space="preserve">a képzésre </w:t>
      </w:r>
      <w:r w:rsidR="00D17F62" w:rsidRPr="000E40A6">
        <w:rPr>
          <w:rFonts w:asciiTheme="minorHAnsi" w:hAnsiTheme="minorHAnsi"/>
          <w:b/>
        </w:rPr>
        <w:t>201</w:t>
      </w:r>
      <w:r w:rsidR="00C61F23">
        <w:rPr>
          <w:rFonts w:asciiTheme="minorHAnsi" w:hAnsiTheme="minorHAnsi"/>
          <w:b/>
        </w:rPr>
        <w:t>5</w:t>
      </w:r>
      <w:r w:rsidR="008B2CCC" w:rsidRPr="000E40A6">
        <w:rPr>
          <w:rFonts w:asciiTheme="minorHAnsi" w:hAnsiTheme="minorHAnsi"/>
          <w:b/>
        </w:rPr>
        <w:t>.</w:t>
      </w:r>
      <w:r w:rsidR="008B2CCC">
        <w:rPr>
          <w:rFonts w:asciiTheme="minorHAnsi" w:hAnsiTheme="minorHAnsi"/>
        </w:rPr>
        <w:t xml:space="preserve"> </w:t>
      </w:r>
      <w:r w:rsidR="00E76D48" w:rsidRPr="00E76D48">
        <w:rPr>
          <w:rFonts w:asciiTheme="minorHAnsi" w:hAnsiTheme="minorHAnsi"/>
          <w:b/>
        </w:rPr>
        <w:t>január 20</w:t>
      </w:r>
      <w:r w:rsidR="00E76D48">
        <w:rPr>
          <w:rFonts w:asciiTheme="minorHAnsi" w:hAnsiTheme="minorHAnsi"/>
        </w:rPr>
        <w:t>-</w:t>
      </w:r>
      <w:r w:rsidR="00C61F23">
        <w:rPr>
          <w:rFonts w:asciiTheme="minorHAnsi" w:hAnsiTheme="minorHAnsi"/>
        </w:rPr>
        <w:t>á</w:t>
      </w:r>
      <w:r w:rsidR="00E76D48">
        <w:rPr>
          <w:rFonts w:asciiTheme="minorHAnsi" w:hAnsiTheme="minorHAnsi"/>
        </w:rPr>
        <w:t xml:space="preserve">tól lehet </w:t>
      </w:r>
      <w:r w:rsidR="008B2CCC">
        <w:rPr>
          <w:rFonts w:asciiTheme="minorHAnsi" w:hAnsiTheme="minorHAnsi"/>
        </w:rPr>
        <w:t>a jelentkezés</w:t>
      </w:r>
      <w:r w:rsidR="00C61F23">
        <w:rPr>
          <w:rFonts w:asciiTheme="minorHAnsi" w:hAnsiTheme="minorHAnsi"/>
        </w:rPr>
        <w:t>eke</w:t>
      </w:r>
      <w:r w:rsidR="008B2CCC">
        <w:rPr>
          <w:rFonts w:asciiTheme="minorHAnsi" w:hAnsiTheme="minorHAnsi"/>
        </w:rPr>
        <w:t>t benyújtani</w:t>
      </w:r>
      <w:r w:rsidR="000D79F4">
        <w:rPr>
          <w:rFonts w:asciiTheme="minorHAnsi" w:hAnsiTheme="minorHAnsi"/>
        </w:rPr>
        <w:t xml:space="preserve"> a TÖOSZ internetes oldaláról majd aktuálisan letölthető jelentkezési lapon</w:t>
      </w:r>
      <w:r w:rsidR="008B2CCC">
        <w:rPr>
          <w:rFonts w:asciiTheme="minorHAnsi" w:hAnsiTheme="minorHAnsi"/>
        </w:rPr>
        <w:t>. A jelentkezést kezdem</w:t>
      </w:r>
      <w:r w:rsidR="00D94AEC">
        <w:rPr>
          <w:rFonts w:asciiTheme="minorHAnsi" w:hAnsiTheme="minorHAnsi"/>
        </w:rPr>
        <w:t xml:space="preserve">ényezheti </w:t>
      </w:r>
      <w:r w:rsidR="000E40A6" w:rsidRPr="001C11A9">
        <w:rPr>
          <w:rFonts w:asciiTheme="minorHAnsi" w:hAnsiTheme="minorHAnsi"/>
        </w:rPr>
        <w:t xml:space="preserve">egy vagy több </w:t>
      </w:r>
      <w:r w:rsidR="00D94AEC" w:rsidRPr="001C11A9">
        <w:rPr>
          <w:rFonts w:asciiTheme="minorHAnsi" w:hAnsiTheme="minorHAnsi"/>
        </w:rPr>
        <w:t>önkormányzati</w:t>
      </w:r>
      <w:r w:rsidR="000E40A6" w:rsidRPr="001C11A9">
        <w:rPr>
          <w:rFonts w:asciiTheme="minorHAnsi" w:hAnsiTheme="minorHAnsi"/>
        </w:rPr>
        <w:t xml:space="preserve"> hivatal</w:t>
      </w:r>
      <w:r w:rsidR="00D94AEC">
        <w:rPr>
          <w:rFonts w:asciiTheme="minorHAnsi" w:hAnsiTheme="minorHAnsi"/>
        </w:rPr>
        <w:t xml:space="preserve">, a </w:t>
      </w:r>
      <w:r w:rsidR="00E76D48">
        <w:rPr>
          <w:rFonts w:asciiTheme="minorHAnsi" w:hAnsiTheme="minorHAnsi"/>
        </w:rPr>
        <w:t>járási h</w:t>
      </w:r>
      <w:r w:rsidR="003E73F5">
        <w:rPr>
          <w:rFonts w:asciiTheme="minorHAnsi" w:hAnsiTheme="minorHAnsi"/>
        </w:rPr>
        <w:t>ivatalok csatlakozása a jelentkezéshez a</w:t>
      </w:r>
      <w:r w:rsidR="001C11A9">
        <w:rPr>
          <w:rFonts w:asciiTheme="minorHAnsi" w:hAnsiTheme="minorHAnsi"/>
        </w:rPr>
        <w:t xml:space="preserve"> </w:t>
      </w:r>
      <w:r w:rsidR="000E40A6" w:rsidRPr="001C11A9">
        <w:rPr>
          <w:rFonts w:asciiTheme="minorHAnsi" w:hAnsiTheme="minorHAnsi"/>
        </w:rPr>
        <w:t>Miniszterelnökség Területi Államigazgatásért Felelős Államtitkársággal</w:t>
      </w:r>
      <w:r w:rsidR="000E40A6">
        <w:rPr>
          <w:rFonts w:asciiTheme="minorHAnsi" w:hAnsiTheme="minorHAnsi"/>
          <w:color w:val="FF0000"/>
        </w:rPr>
        <w:t xml:space="preserve"> </w:t>
      </w:r>
      <w:r w:rsidR="003E73F5">
        <w:rPr>
          <w:rFonts w:asciiTheme="minorHAnsi" w:hAnsiTheme="minorHAnsi"/>
        </w:rPr>
        <w:t>történt megállapodás szerint szükségszerű.</w:t>
      </w:r>
    </w:p>
    <w:p w:rsidR="002375E6" w:rsidRPr="001C11A9" w:rsidRDefault="002375E6" w:rsidP="002375E6">
      <w:pPr>
        <w:jc w:val="both"/>
        <w:rPr>
          <w:rFonts w:asciiTheme="minorHAnsi" w:hAnsiTheme="minorHAnsi"/>
        </w:rPr>
      </w:pPr>
      <w:r w:rsidRPr="001C11A9">
        <w:rPr>
          <w:rFonts w:asciiTheme="minorHAnsi" w:hAnsiTheme="minorHAnsi"/>
        </w:rPr>
        <w:t>A képzési programban érdemes azon járásoknak is részt vennie, amelyeknél az együttműködés eddigi tapasztalatai kedvezőek, ugyanis az itt megismerhető jó megoldások feltárásával lehet segíteni a konfliktusok feloldását más járásokban.</w:t>
      </w:r>
    </w:p>
    <w:p w:rsidR="003E73F5" w:rsidRPr="009970B9" w:rsidRDefault="003E73F5" w:rsidP="000E40A6">
      <w:pPr>
        <w:jc w:val="both"/>
        <w:rPr>
          <w:rFonts w:asciiTheme="minorHAnsi" w:hAnsiTheme="minorHAnsi"/>
          <w:b/>
        </w:rPr>
      </w:pPr>
      <w:r w:rsidRPr="009970B9">
        <w:rPr>
          <w:rFonts w:asciiTheme="minorHAnsi" w:hAnsiTheme="minorHAnsi"/>
          <w:b/>
        </w:rPr>
        <w:t>Megvalósítás feltételei és körülményei</w:t>
      </w:r>
    </w:p>
    <w:p w:rsidR="003E73F5" w:rsidRPr="008B2CCC" w:rsidRDefault="00E76D48" w:rsidP="000E40A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MANORKA projekt</w:t>
      </w:r>
      <w:r w:rsidR="00AE6E10">
        <w:rPr>
          <w:rFonts w:asciiTheme="minorHAnsi" w:hAnsiTheme="minorHAnsi"/>
        </w:rPr>
        <w:t xml:space="preserve"> és a képzés célkitűzéseinek tényleges elérése érdekében s</w:t>
      </w:r>
      <w:r w:rsidR="003E73F5">
        <w:rPr>
          <w:rFonts w:asciiTheme="minorHAnsi" w:hAnsiTheme="minorHAnsi"/>
        </w:rPr>
        <w:t>zükséges a fentiekben leírt résztvevői kör és létszám</w:t>
      </w:r>
      <w:r w:rsidR="00AE6E10">
        <w:rPr>
          <w:rFonts w:asciiTheme="minorHAnsi" w:hAnsiTheme="minorHAnsi"/>
        </w:rPr>
        <w:t xml:space="preserve"> biztosítása, valamint az, hogy a résztvevők a képzés elejétől a végéig aktívan részt vegyenek a meghirdetett programon. A képzést 2 tréner vezeti, </w:t>
      </w:r>
      <w:r w:rsidR="001F42A0">
        <w:rPr>
          <w:rFonts w:asciiTheme="minorHAnsi" w:hAnsiTheme="minorHAnsi"/>
        </w:rPr>
        <w:t>rövidebb tréneri prezentációk, 4-5-fős csoportokban gyakorlati munka, majd plenáris megbeszélések váltogatva követik egymást. A helyben javasolt helyszínnek</w:t>
      </w:r>
      <w:r>
        <w:rPr>
          <w:rFonts w:asciiTheme="minorHAnsi" w:hAnsiTheme="minorHAnsi"/>
        </w:rPr>
        <w:t xml:space="preserve"> alkalmasnak kell lennie a jelzett</w:t>
      </w:r>
      <w:r w:rsidR="001F42A0">
        <w:rPr>
          <w:rFonts w:asciiTheme="minorHAnsi" w:hAnsiTheme="minorHAnsi"/>
        </w:rPr>
        <w:t xml:space="preserve"> képzési </w:t>
      </w:r>
      <w:r w:rsidR="00B061C5">
        <w:rPr>
          <w:rFonts w:asciiTheme="minorHAnsi" w:hAnsiTheme="minorHAnsi"/>
        </w:rPr>
        <w:t>folyamatok megvalósítására.</w:t>
      </w:r>
    </w:p>
    <w:p w:rsidR="00C318B4" w:rsidRPr="00C60EB5" w:rsidRDefault="00C318B4" w:rsidP="00A40E69">
      <w:pPr>
        <w:spacing w:after="0" w:line="240" w:lineRule="auto"/>
        <w:rPr>
          <w:rFonts w:asciiTheme="minorHAnsi" w:hAnsiTheme="minorHAnsi"/>
        </w:rPr>
      </w:pPr>
    </w:p>
    <w:sectPr w:rsidR="00C318B4" w:rsidRPr="00C60EB5" w:rsidSect="007512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43" w:rsidRDefault="00891943" w:rsidP="00436515">
      <w:pPr>
        <w:spacing w:after="0" w:line="240" w:lineRule="auto"/>
      </w:pPr>
      <w:r>
        <w:separator/>
      </w:r>
    </w:p>
  </w:endnote>
  <w:endnote w:type="continuationSeparator" w:id="0">
    <w:p w:rsidR="00891943" w:rsidRDefault="00891943" w:rsidP="0043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9E" w:rsidRDefault="007A2D9E">
    <w:pPr>
      <w:pStyle w:val="llb"/>
    </w:pPr>
    <w:r>
      <w:rPr>
        <w:noProof/>
        <w:lang w:eastAsia="hu-HU"/>
      </w:rPr>
      <w:drawing>
        <wp:inline distT="0" distB="0" distL="0" distR="0">
          <wp:extent cx="876300" cy="876300"/>
          <wp:effectExtent l="19050" t="0" r="0" b="0"/>
          <wp:docPr id="21" name="Kép 21" descr="C:\Documents and Settings\sabjank\Dokumentumok\Dropbox\scHUMANs predefined project\2013\WP_3_Kommunikáció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Documents and Settings\sabjank\Dokumentumok\Dropbox\scHUMANs predefined project\2013\WP_3_Kommunikáció\EEA+Grants+-+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828675" cy="828675"/>
          <wp:effectExtent l="19050" t="0" r="9525" b="0"/>
          <wp:docPr id="23" name="Kép 23" descr="C:\Documents and Settings\sabjank\Local Settings\Temp\Norway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Documents and Settings\sabjank\Local Settings\Temp\Norway+Grants+-+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43" w:rsidRDefault="00891943" w:rsidP="00436515">
      <w:pPr>
        <w:spacing w:after="0" w:line="240" w:lineRule="auto"/>
      </w:pPr>
      <w:r>
        <w:separator/>
      </w:r>
    </w:p>
  </w:footnote>
  <w:footnote w:type="continuationSeparator" w:id="0">
    <w:p w:rsidR="00891943" w:rsidRDefault="00891943" w:rsidP="0043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9E" w:rsidRDefault="007A2D9E" w:rsidP="00496E4A">
    <w:pPr>
      <w:pStyle w:val="lfej"/>
      <w:tabs>
        <w:tab w:val="clear" w:pos="4536"/>
        <w:tab w:val="center" w:pos="3686"/>
      </w:tabs>
      <w:spacing w:after="0" w:line="240" w:lineRule="auto"/>
      <w:ind w:left="-851"/>
      <w:jc w:val="right"/>
      <w:rPr>
        <w:b/>
        <w:i/>
        <w:sz w:val="18"/>
        <w:szCs w:val="18"/>
      </w:rPr>
    </w:pPr>
    <w:r>
      <w:rPr>
        <w:b/>
        <w:i/>
        <w:noProof/>
        <w:sz w:val="18"/>
        <w:szCs w:val="18"/>
        <w:lang w:eastAsia="hu-HU"/>
      </w:rPr>
      <w:drawing>
        <wp:inline distT="0" distB="0" distL="0" distR="0">
          <wp:extent cx="1524000" cy="828675"/>
          <wp:effectExtent l="1905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hyperlink r:id="rId2" w:history="1">
      <w:r w:rsidRPr="00927DAA">
        <w:rPr>
          <w:rStyle w:val="Hiperhivatkozs"/>
          <w:b/>
          <w:i/>
          <w:sz w:val="18"/>
          <w:szCs w:val="18"/>
        </w:rPr>
        <w:t>www.manorka.net</w:t>
      </w:r>
    </w:hyperlink>
    <w:r>
      <w:rPr>
        <w:b/>
        <w:i/>
        <w:sz w:val="18"/>
        <w:szCs w:val="18"/>
      </w:rPr>
      <w:t xml:space="preserve">  MANORKA projekt – MAgyar - NORvég KApcsolatok</w:t>
    </w:r>
  </w:p>
  <w:p w:rsidR="007A2D9E" w:rsidRDefault="007A2D9E" w:rsidP="00496E4A">
    <w:pPr>
      <w:pStyle w:val="lfej"/>
      <w:tabs>
        <w:tab w:val="clear" w:pos="4536"/>
        <w:tab w:val="center" w:pos="3686"/>
      </w:tabs>
      <w:spacing w:after="0" w:line="240" w:lineRule="auto"/>
      <w:ind w:left="-851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„Önkormányzati kapacitás</w:t>
    </w:r>
    <w:r w:rsidRPr="002163E2">
      <w:rPr>
        <w:b/>
        <w:i/>
        <w:sz w:val="18"/>
        <w:szCs w:val="18"/>
      </w:rPr>
      <w:t>építés norvég‐magyar együttműködéssel” projekt</w:t>
    </w:r>
  </w:p>
  <w:p w:rsidR="007A2D9E" w:rsidRDefault="007A2D9E" w:rsidP="00496E4A">
    <w:pPr>
      <w:pStyle w:val="lfej"/>
      <w:spacing w:after="0" w:line="240" w:lineRule="auto"/>
      <w:ind w:left="-851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HU11-0005-HU11-PP1-2013</w:t>
    </w:r>
  </w:p>
  <w:p w:rsidR="007A2D9E" w:rsidRPr="00925B4D" w:rsidRDefault="007A2D9E" w:rsidP="00496E4A">
    <w:pPr>
      <w:pStyle w:val="lfej"/>
      <w:spacing w:after="0" w:line="240" w:lineRule="auto"/>
      <w:ind w:left="-851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Projektgazda: </w:t>
    </w:r>
    <w:r w:rsidRPr="00925B4D">
      <w:rPr>
        <w:b/>
        <w:i/>
        <w:sz w:val="18"/>
        <w:szCs w:val="18"/>
      </w:rPr>
      <w:t>TELEPÜLÉSI ÖNKORMÁNYZATOK ORSZÁGOS SZÖVETSÉGE</w:t>
    </w:r>
  </w:p>
  <w:p w:rsidR="007A2D9E" w:rsidRDefault="007A2D9E" w:rsidP="00496E4A">
    <w:pPr>
      <w:pStyle w:val="lfej"/>
      <w:spacing w:after="0" w:line="240" w:lineRule="auto"/>
      <w:ind w:left="-851"/>
      <w:jc w:val="right"/>
      <w:rPr>
        <w:b/>
        <w:i/>
        <w:sz w:val="18"/>
        <w:szCs w:val="18"/>
      </w:rPr>
    </w:pPr>
    <w:r w:rsidRPr="00925B4D">
      <w:rPr>
        <w:b/>
        <w:i/>
        <w:sz w:val="18"/>
        <w:szCs w:val="18"/>
      </w:rPr>
      <w:t xml:space="preserve">            1067 Budapest, Teréz krt. 23., 1386 Budapest 62. Pf. 908,</w:t>
    </w:r>
  </w:p>
  <w:p w:rsidR="007A2D9E" w:rsidRPr="00436515" w:rsidRDefault="007A2D9E" w:rsidP="00496E4A">
    <w:pPr>
      <w:pStyle w:val="lfej"/>
      <w:spacing w:after="0" w:line="240" w:lineRule="auto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T: 1-321-24-96, 1-327-24-97 E-mail: toosz@toosz.hu</w:t>
    </w:r>
  </w:p>
  <w:p w:rsidR="007A2D9E" w:rsidRDefault="007A2D9E" w:rsidP="00496E4A">
    <w:pPr>
      <w:pStyle w:val="lfej"/>
      <w:spacing w:after="0" w:line="240" w:lineRule="auto"/>
      <w:jc w:val="right"/>
      <w:rPr>
        <w:b/>
        <w:i/>
        <w:sz w:val="18"/>
        <w:szCs w:val="18"/>
      </w:rPr>
    </w:pPr>
  </w:p>
  <w:p w:rsidR="007A2D9E" w:rsidRDefault="007A2D9E" w:rsidP="00436515">
    <w:pPr>
      <w:pStyle w:val="lfej"/>
      <w:spacing w:after="0" w:line="240" w:lineRule="auto"/>
      <w:jc w:val="right"/>
      <w:rPr>
        <w:b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C93"/>
    <w:multiLevelType w:val="hybridMultilevel"/>
    <w:tmpl w:val="61C2E3D6"/>
    <w:lvl w:ilvl="0" w:tplc="0D68BA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38C3"/>
    <w:multiLevelType w:val="hybridMultilevel"/>
    <w:tmpl w:val="4F307102"/>
    <w:lvl w:ilvl="0" w:tplc="2E467E06">
      <w:start w:val="3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06477FC4"/>
    <w:multiLevelType w:val="hybridMultilevel"/>
    <w:tmpl w:val="BC6275F6"/>
    <w:lvl w:ilvl="0" w:tplc="0D68BA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61A16"/>
    <w:multiLevelType w:val="hybridMultilevel"/>
    <w:tmpl w:val="F462FA0C"/>
    <w:lvl w:ilvl="0" w:tplc="0D68BA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3758D"/>
    <w:multiLevelType w:val="hybridMultilevel"/>
    <w:tmpl w:val="F77C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96131"/>
    <w:multiLevelType w:val="hybridMultilevel"/>
    <w:tmpl w:val="3AFE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D3733"/>
    <w:multiLevelType w:val="hybridMultilevel"/>
    <w:tmpl w:val="A04A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74676"/>
    <w:multiLevelType w:val="hybridMultilevel"/>
    <w:tmpl w:val="E064FC3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1B954BBA"/>
    <w:multiLevelType w:val="hybridMultilevel"/>
    <w:tmpl w:val="667ACD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563C9"/>
    <w:multiLevelType w:val="hybridMultilevel"/>
    <w:tmpl w:val="CA70C1C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66639F"/>
    <w:multiLevelType w:val="hybridMultilevel"/>
    <w:tmpl w:val="1D28EC0C"/>
    <w:lvl w:ilvl="0" w:tplc="0D68BA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8517D"/>
    <w:multiLevelType w:val="hybridMultilevel"/>
    <w:tmpl w:val="F532FF66"/>
    <w:lvl w:ilvl="0" w:tplc="0D68BA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01094"/>
    <w:multiLevelType w:val="hybridMultilevel"/>
    <w:tmpl w:val="40405BDE"/>
    <w:lvl w:ilvl="0" w:tplc="0D68BA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D5C76"/>
    <w:multiLevelType w:val="hybridMultilevel"/>
    <w:tmpl w:val="E87208CC"/>
    <w:lvl w:ilvl="0" w:tplc="D1CE7C6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110EF"/>
    <w:multiLevelType w:val="hybridMultilevel"/>
    <w:tmpl w:val="97ECD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4E186A"/>
    <w:multiLevelType w:val="hybridMultilevel"/>
    <w:tmpl w:val="7CBA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7592F"/>
    <w:multiLevelType w:val="hybridMultilevel"/>
    <w:tmpl w:val="7F181C08"/>
    <w:lvl w:ilvl="0" w:tplc="0D68BA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A35A0"/>
    <w:multiLevelType w:val="hybridMultilevel"/>
    <w:tmpl w:val="EDC07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4A6ABA"/>
    <w:multiLevelType w:val="hybridMultilevel"/>
    <w:tmpl w:val="8F288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4628C"/>
    <w:multiLevelType w:val="hybridMultilevel"/>
    <w:tmpl w:val="BB100008"/>
    <w:lvl w:ilvl="0" w:tplc="0D68BA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D77FF"/>
    <w:multiLevelType w:val="hybridMultilevel"/>
    <w:tmpl w:val="E1CCE3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44044"/>
    <w:multiLevelType w:val="hybridMultilevel"/>
    <w:tmpl w:val="4B18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21957"/>
    <w:multiLevelType w:val="hybridMultilevel"/>
    <w:tmpl w:val="9DE015B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>
    <w:nsid w:val="69FD4F1C"/>
    <w:multiLevelType w:val="hybridMultilevel"/>
    <w:tmpl w:val="42CE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A5FFD"/>
    <w:multiLevelType w:val="hybridMultilevel"/>
    <w:tmpl w:val="736E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9"/>
  </w:num>
  <w:num w:numId="5">
    <w:abstractNumId w:val="20"/>
  </w:num>
  <w:num w:numId="6">
    <w:abstractNumId w:val="7"/>
  </w:num>
  <w:num w:numId="7">
    <w:abstractNumId w:val="13"/>
  </w:num>
  <w:num w:numId="8">
    <w:abstractNumId w:val="0"/>
  </w:num>
  <w:num w:numId="9">
    <w:abstractNumId w:val="19"/>
  </w:num>
  <w:num w:numId="10">
    <w:abstractNumId w:val="2"/>
  </w:num>
  <w:num w:numId="11">
    <w:abstractNumId w:val="3"/>
  </w:num>
  <w:num w:numId="12">
    <w:abstractNumId w:val="10"/>
  </w:num>
  <w:num w:numId="13">
    <w:abstractNumId w:val="16"/>
  </w:num>
  <w:num w:numId="14">
    <w:abstractNumId w:val="11"/>
  </w:num>
  <w:num w:numId="15">
    <w:abstractNumId w:val="12"/>
  </w:num>
  <w:num w:numId="16">
    <w:abstractNumId w:val="5"/>
  </w:num>
  <w:num w:numId="17">
    <w:abstractNumId w:val="17"/>
  </w:num>
  <w:num w:numId="18">
    <w:abstractNumId w:val="24"/>
  </w:num>
  <w:num w:numId="19">
    <w:abstractNumId w:val="23"/>
  </w:num>
  <w:num w:numId="20">
    <w:abstractNumId w:val="14"/>
  </w:num>
  <w:num w:numId="21">
    <w:abstractNumId w:val="22"/>
  </w:num>
  <w:num w:numId="22">
    <w:abstractNumId w:val="21"/>
  </w:num>
  <w:num w:numId="23">
    <w:abstractNumId w:val="15"/>
  </w:num>
  <w:num w:numId="24">
    <w:abstractNumId w:val="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436515"/>
    <w:rsid w:val="000271A7"/>
    <w:rsid w:val="00042FA7"/>
    <w:rsid w:val="000439A9"/>
    <w:rsid w:val="00051A5F"/>
    <w:rsid w:val="0005582D"/>
    <w:rsid w:val="00060E30"/>
    <w:rsid w:val="00073010"/>
    <w:rsid w:val="000734A4"/>
    <w:rsid w:val="00073B7F"/>
    <w:rsid w:val="000B19DA"/>
    <w:rsid w:val="000B6DBB"/>
    <w:rsid w:val="000D79F4"/>
    <w:rsid w:val="000E40A6"/>
    <w:rsid w:val="000F5919"/>
    <w:rsid w:val="001079CF"/>
    <w:rsid w:val="001162D2"/>
    <w:rsid w:val="0012501A"/>
    <w:rsid w:val="001312B9"/>
    <w:rsid w:val="00133F51"/>
    <w:rsid w:val="0013585E"/>
    <w:rsid w:val="00160A53"/>
    <w:rsid w:val="00164740"/>
    <w:rsid w:val="0018599E"/>
    <w:rsid w:val="001C11A9"/>
    <w:rsid w:val="001D703C"/>
    <w:rsid w:val="001E5F0E"/>
    <w:rsid w:val="001F339A"/>
    <w:rsid w:val="001F42A0"/>
    <w:rsid w:val="001F78C8"/>
    <w:rsid w:val="00215E40"/>
    <w:rsid w:val="00216037"/>
    <w:rsid w:val="00222236"/>
    <w:rsid w:val="002375E6"/>
    <w:rsid w:val="00281093"/>
    <w:rsid w:val="00283770"/>
    <w:rsid w:val="002938E0"/>
    <w:rsid w:val="002A1384"/>
    <w:rsid w:val="002B4927"/>
    <w:rsid w:val="002B5A7B"/>
    <w:rsid w:val="002D147A"/>
    <w:rsid w:val="002E4012"/>
    <w:rsid w:val="002F1B33"/>
    <w:rsid w:val="00303418"/>
    <w:rsid w:val="003369CA"/>
    <w:rsid w:val="00362196"/>
    <w:rsid w:val="0036776B"/>
    <w:rsid w:val="00370CB8"/>
    <w:rsid w:val="003733C1"/>
    <w:rsid w:val="00376146"/>
    <w:rsid w:val="003867DF"/>
    <w:rsid w:val="00393629"/>
    <w:rsid w:val="003A6085"/>
    <w:rsid w:val="003C3CDE"/>
    <w:rsid w:val="003C4BE0"/>
    <w:rsid w:val="003D3ECE"/>
    <w:rsid w:val="003D6BA2"/>
    <w:rsid w:val="003E5EDD"/>
    <w:rsid w:val="003E73F5"/>
    <w:rsid w:val="00421184"/>
    <w:rsid w:val="00436515"/>
    <w:rsid w:val="00436812"/>
    <w:rsid w:val="004502DC"/>
    <w:rsid w:val="0045313F"/>
    <w:rsid w:val="004549D2"/>
    <w:rsid w:val="0045544C"/>
    <w:rsid w:val="00462727"/>
    <w:rsid w:val="00477D0F"/>
    <w:rsid w:val="004811CC"/>
    <w:rsid w:val="00496E4A"/>
    <w:rsid w:val="004A2C6B"/>
    <w:rsid w:val="004A5F79"/>
    <w:rsid w:val="004A77EE"/>
    <w:rsid w:val="004A7F66"/>
    <w:rsid w:val="004C051B"/>
    <w:rsid w:val="004C1EBA"/>
    <w:rsid w:val="004F13F9"/>
    <w:rsid w:val="005027BE"/>
    <w:rsid w:val="005276B5"/>
    <w:rsid w:val="005468DC"/>
    <w:rsid w:val="00561561"/>
    <w:rsid w:val="005623D1"/>
    <w:rsid w:val="00575CCB"/>
    <w:rsid w:val="00576547"/>
    <w:rsid w:val="0059041E"/>
    <w:rsid w:val="00590B17"/>
    <w:rsid w:val="005A52BB"/>
    <w:rsid w:val="005A63F5"/>
    <w:rsid w:val="005B2597"/>
    <w:rsid w:val="005D6CF4"/>
    <w:rsid w:val="005E1794"/>
    <w:rsid w:val="005E681C"/>
    <w:rsid w:val="005F0F61"/>
    <w:rsid w:val="00605D57"/>
    <w:rsid w:val="00616A5C"/>
    <w:rsid w:val="00631139"/>
    <w:rsid w:val="00633B26"/>
    <w:rsid w:val="00637731"/>
    <w:rsid w:val="00642489"/>
    <w:rsid w:val="006429FF"/>
    <w:rsid w:val="0065708F"/>
    <w:rsid w:val="00665FF2"/>
    <w:rsid w:val="00686A3A"/>
    <w:rsid w:val="006A6BF8"/>
    <w:rsid w:val="006B12FA"/>
    <w:rsid w:val="006C00D2"/>
    <w:rsid w:val="006D225F"/>
    <w:rsid w:val="006D2A95"/>
    <w:rsid w:val="006F63F4"/>
    <w:rsid w:val="00706B1F"/>
    <w:rsid w:val="0071788A"/>
    <w:rsid w:val="00723242"/>
    <w:rsid w:val="00724937"/>
    <w:rsid w:val="00725D41"/>
    <w:rsid w:val="007360E5"/>
    <w:rsid w:val="0074429F"/>
    <w:rsid w:val="0075128F"/>
    <w:rsid w:val="00751336"/>
    <w:rsid w:val="00772640"/>
    <w:rsid w:val="007730E3"/>
    <w:rsid w:val="007A2D9E"/>
    <w:rsid w:val="007A6788"/>
    <w:rsid w:val="007A6C9A"/>
    <w:rsid w:val="007B49A8"/>
    <w:rsid w:val="007C03BC"/>
    <w:rsid w:val="007C0546"/>
    <w:rsid w:val="007C798C"/>
    <w:rsid w:val="007D08A4"/>
    <w:rsid w:val="007F0475"/>
    <w:rsid w:val="00810752"/>
    <w:rsid w:val="00816A9D"/>
    <w:rsid w:val="00822AF2"/>
    <w:rsid w:val="008321D5"/>
    <w:rsid w:val="00842222"/>
    <w:rsid w:val="00886DC3"/>
    <w:rsid w:val="00891943"/>
    <w:rsid w:val="008B2CCC"/>
    <w:rsid w:val="008B5721"/>
    <w:rsid w:val="008C1AE4"/>
    <w:rsid w:val="008E0943"/>
    <w:rsid w:val="008F7D8F"/>
    <w:rsid w:val="00925B4D"/>
    <w:rsid w:val="0093051A"/>
    <w:rsid w:val="00931371"/>
    <w:rsid w:val="00966234"/>
    <w:rsid w:val="00972A92"/>
    <w:rsid w:val="009970B9"/>
    <w:rsid w:val="009B094F"/>
    <w:rsid w:val="009C246C"/>
    <w:rsid w:val="009C3F23"/>
    <w:rsid w:val="009C5554"/>
    <w:rsid w:val="009C55EA"/>
    <w:rsid w:val="009E00EA"/>
    <w:rsid w:val="009E07CF"/>
    <w:rsid w:val="009F29E0"/>
    <w:rsid w:val="00A025B7"/>
    <w:rsid w:val="00A15D34"/>
    <w:rsid w:val="00A34631"/>
    <w:rsid w:val="00A40E69"/>
    <w:rsid w:val="00A55B9B"/>
    <w:rsid w:val="00A6556A"/>
    <w:rsid w:val="00A728D6"/>
    <w:rsid w:val="00A842C0"/>
    <w:rsid w:val="00AB5E7F"/>
    <w:rsid w:val="00AC0CA9"/>
    <w:rsid w:val="00AD057A"/>
    <w:rsid w:val="00AE2517"/>
    <w:rsid w:val="00AE6E10"/>
    <w:rsid w:val="00AF1EFD"/>
    <w:rsid w:val="00B056CE"/>
    <w:rsid w:val="00B061C5"/>
    <w:rsid w:val="00B3419B"/>
    <w:rsid w:val="00B423E5"/>
    <w:rsid w:val="00B47F34"/>
    <w:rsid w:val="00B721DB"/>
    <w:rsid w:val="00BD4946"/>
    <w:rsid w:val="00BE4370"/>
    <w:rsid w:val="00BF2202"/>
    <w:rsid w:val="00BF55D7"/>
    <w:rsid w:val="00C02065"/>
    <w:rsid w:val="00C02C1F"/>
    <w:rsid w:val="00C15A31"/>
    <w:rsid w:val="00C20783"/>
    <w:rsid w:val="00C27F37"/>
    <w:rsid w:val="00C318B4"/>
    <w:rsid w:val="00C35295"/>
    <w:rsid w:val="00C35B64"/>
    <w:rsid w:val="00C44E20"/>
    <w:rsid w:val="00C55110"/>
    <w:rsid w:val="00C60EB5"/>
    <w:rsid w:val="00C61F23"/>
    <w:rsid w:val="00C72F2A"/>
    <w:rsid w:val="00C85793"/>
    <w:rsid w:val="00CA573F"/>
    <w:rsid w:val="00CA7B55"/>
    <w:rsid w:val="00CB4AED"/>
    <w:rsid w:val="00CD4794"/>
    <w:rsid w:val="00CD525E"/>
    <w:rsid w:val="00CF1035"/>
    <w:rsid w:val="00D02BB9"/>
    <w:rsid w:val="00D0357B"/>
    <w:rsid w:val="00D17F62"/>
    <w:rsid w:val="00D2131B"/>
    <w:rsid w:val="00D27526"/>
    <w:rsid w:val="00D42C45"/>
    <w:rsid w:val="00D532B9"/>
    <w:rsid w:val="00D6132F"/>
    <w:rsid w:val="00D94AEC"/>
    <w:rsid w:val="00D95D13"/>
    <w:rsid w:val="00DA7D54"/>
    <w:rsid w:val="00DC6278"/>
    <w:rsid w:val="00DD35FB"/>
    <w:rsid w:val="00DD6DB2"/>
    <w:rsid w:val="00DE049D"/>
    <w:rsid w:val="00E05DC0"/>
    <w:rsid w:val="00E12512"/>
    <w:rsid w:val="00E36515"/>
    <w:rsid w:val="00E37055"/>
    <w:rsid w:val="00E41D6F"/>
    <w:rsid w:val="00E54097"/>
    <w:rsid w:val="00E65130"/>
    <w:rsid w:val="00E76D48"/>
    <w:rsid w:val="00E843D4"/>
    <w:rsid w:val="00E93030"/>
    <w:rsid w:val="00EA084E"/>
    <w:rsid w:val="00EA603C"/>
    <w:rsid w:val="00ED7F6E"/>
    <w:rsid w:val="00EE14D9"/>
    <w:rsid w:val="00F0373E"/>
    <w:rsid w:val="00F07C4C"/>
    <w:rsid w:val="00F1063C"/>
    <w:rsid w:val="00F31FFA"/>
    <w:rsid w:val="00F356BB"/>
    <w:rsid w:val="00F464CF"/>
    <w:rsid w:val="00F67AE4"/>
    <w:rsid w:val="00F707C6"/>
    <w:rsid w:val="00F9214B"/>
    <w:rsid w:val="00F927DE"/>
    <w:rsid w:val="00F942BA"/>
    <w:rsid w:val="00FC5954"/>
    <w:rsid w:val="00FD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28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65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6515"/>
  </w:style>
  <w:style w:type="paragraph" w:styleId="llb">
    <w:name w:val="footer"/>
    <w:basedOn w:val="Norml"/>
    <w:link w:val="llbChar"/>
    <w:uiPriority w:val="99"/>
    <w:unhideWhenUsed/>
    <w:rsid w:val="004365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6515"/>
  </w:style>
  <w:style w:type="paragraph" w:styleId="Buborkszveg">
    <w:name w:val="Balloon Text"/>
    <w:basedOn w:val="Norml"/>
    <w:link w:val="BuborkszvegChar"/>
    <w:uiPriority w:val="99"/>
    <w:semiHidden/>
    <w:unhideWhenUsed/>
    <w:rsid w:val="0043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651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549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549D2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133F51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9E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8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lfejChar"/>
    <w:uiPriority w:val="99"/>
    <w:unhideWhenUsed/>
    <w:rsid w:val="004365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DefaultParagraphFont"/>
    <w:link w:val="Header"/>
    <w:uiPriority w:val="99"/>
    <w:rsid w:val="00436515"/>
  </w:style>
  <w:style w:type="paragraph" w:styleId="Footer">
    <w:name w:val="footer"/>
    <w:basedOn w:val="Normal"/>
    <w:link w:val="llbChar"/>
    <w:uiPriority w:val="99"/>
    <w:unhideWhenUsed/>
    <w:rsid w:val="004365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DefaultParagraphFont"/>
    <w:link w:val="Footer"/>
    <w:uiPriority w:val="99"/>
    <w:rsid w:val="00436515"/>
  </w:style>
  <w:style w:type="paragraph" w:styleId="BalloonText">
    <w:name w:val="Balloon Text"/>
    <w:basedOn w:val="Normal"/>
    <w:link w:val="BuborkszvegChar"/>
    <w:uiPriority w:val="99"/>
    <w:semiHidden/>
    <w:unhideWhenUsed/>
    <w:rsid w:val="0043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DefaultParagraphFont"/>
    <w:link w:val="BalloonText"/>
    <w:uiPriority w:val="99"/>
    <w:semiHidden/>
    <w:rsid w:val="00436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9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3F5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E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norka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0412E2-E15F-43EF-A5E9-93BFA938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698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sabjank</dc:creator>
  <cp:lastModifiedBy>steinere</cp:lastModifiedBy>
  <cp:revision>13</cp:revision>
  <cp:lastPrinted>2014-02-20T13:30:00Z</cp:lastPrinted>
  <dcterms:created xsi:type="dcterms:W3CDTF">2014-11-21T09:42:00Z</dcterms:created>
  <dcterms:modified xsi:type="dcterms:W3CDTF">2015-01-19T15:09:00Z</dcterms:modified>
</cp:coreProperties>
</file>